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0"/>
        <w:gridCol w:w="3036"/>
      </w:tblGrid>
      <w:tr w:rsidR="00335CA3" w:rsidRPr="00335CA3" w:rsidTr="00760A57">
        <w:trPr>
          <w:trHeight w:val="580"/>
        </w:trPr>
        <w:tc>
          <w:tcPr>
            <w:tcW w:w="5000" w:type="pct"/>
            <w:gridSpan w:val="2"/>
            <w:shd w:val="clear" w:color="auto" w:fill="D9D9D9" w:themeFill="background1" w:themeFillShade="D9"/>
          </w:tcPr>
          <w:p w:rsidR="00335CA3" w:rsidRDefault="00335CA3" w:rsidP="00760A57">
            <w:pPr>
              <w:pStyle w:val="Default"/>
              <w:spacing w:before="120" w:after="120"/>
              <w:rPr>
                <w:b/>
                <w:bCs/>
                <w:sz w:val="22"/>
                <w:szCs w:val="22"/>
              </w:rPr>
            </w:pPr>
            <w:r w:rsidRPr="00335CA3">
              <w:rPr>
                <w:b/>
                <w:bCs/>
                <w:sz w:val="22"/>
                <w:szCs w:val="22"/>
              </w:rPr>
              <w:t>DEVELOPMENT ENTITLEMENT CONSISTENCY</w:t>
            </w:r>
          </w:p>
          <w:p w:rsidR="00DC0177" w:rsidRPr="00335CA3" w:rsidRDefault="00DC0177" w:rsidP="00760A57">
            <w:pPr>
              <w:pStyle w:val="Default"/>
              <w:spacing w:before="120" w:after="120"/>
              <w:rPr>
                <w:b/>
                <w:bCs/>
                <w:sz w:val="22"/>
                <w:szCs w:val="22"/>
              </w:rPr>
            </w:pPr>
            <w:r w:rsidRPr="00DC74BA">
              <w:rPr>
                <w:bCs/>
                <w:i/>
                <w:sz w:val="22"/>
                <w:szCs w:val="22"/>
              </w:rPr>
              <w:t xml:space="preserve">Fill in Discussion cells below for all </w:t>
            </w:r>
            <w:r>
              <w:rPr>
                <w:bCs/>
                <w:i/>
                <w:sz w:val="22"/>
                <w:szCs w:val="22"/>
              </w:rPr>
              <w:t>Development Entitlement</w:t>
            </w:r>
            <w:r w:rsidRPr="00DC74BA">
              <w:rPr>
                <w:bCs/>
                <w:i/>
                <w:sz w:val="22"/>
                <w:szCs w:val="22"/>
              </w:rPr>
              <w:t xml:space="preserve">  consistency </w:t>
            </w:r>
            <w:r>
              <w:rPr>
                <w:bCs/>
                <w:i/>
                <w:sz w:val="22"/>
                <w:szCs w:val="22"/>
              </w:rPr>
              <w:t>determinations</w:t>
            </w:r>
            <w:bookmarkStart w:id="0" w:name="_GoBack"/>
            <w:bookmarkEnd w:id="0"/>
          </w:p>
        </w:tc>
      </w:tr>
      <w:tr w:rsidR="00335CA3" w:rsidRPr="00335CA3" w:rsidTr="00760A57">
        <w:trPr>
          <w:trHeight w:val="825"/>
        </w:trPr>
        <w:tc>
          <w:tcPr>
            <w:tcW w:w="5000" w:type="pct"/>
            <w:gridSpan w:val="2"/>
          </w:tcPr>
          <w:p w:rsidR="00335CA3" w:rsidRPr="00335CA3" w:rsidRDefault="00335CA3" w:rsidP="00760A57">
            <w:pPr>
              <w:pStyle w:val="Default"/>
              <w:spacing w:before="120" w:after="120"/>
              <w:ind w:left="108"/>
              <w:rPr>
                <w:b/>
                <w:bCs/>
                <w:sz w:val="22"/>
                <w:szCs w:val="22"/>
              </w:rPr>
            </w:pPr>
            <w:r w:rsidRPr="00335CA3">
              <w:rPr>
                <w:b/>
                <w:sz w:val="22"/>
                <w:szCs w:val="22"/>
              </w:rPr>
              <w:t>8.02.030</w:t>
            </w:r>
            <w:r w:rsidRPr="00335CA3">
              <w:rPr>
                <w:sz w:val="22"/>
                <w:szCs w:val="22"/>
              </w:rPr>
              <w:t xml:space="preserve"> (a) In the review, evaluation, and determination of consistency regarding any development entitlement presented to the Authority Board pursuant to Section 8.01.030 of this Resolution, the Authority Board shall withhold a finding of consistency for any development entitlement that: </w:t>
            </w:r>
          </w:p>
        </w:tc>
      </w:tr>
      <w:tr w:rsidR="00335CA3" w:rsidRPr="00335CA3" w:rsidTr="00760A57">
        <w:trPr>
          <w:trHeight w:val="580"/>
        </w:trPr>
        <w:tc>
          <w:tcPr>
            <w:tcW w:w="3415" w:type="pct"/>
          </w:tcPr>
          <w:p w:rsidR="00335CA3" w:rsidRPr="00335CA3" w:rsidRDefault="00335CA3" w:rsidP="00760A57">
            <w:pPr>
              <w:pStyle w:val="Default"/>
              <w:spacing w:before="120" w:after="120"/>
              <w:ind w:left="108"/>
              <w:rPr>
                <w:sz w:val="22"/>
                <w:szCs w:val="22"/>
              </w:rPr>
            </w:pPr>
            <w:r w:rsidRPr="00335CA3">
              <w:rPr>
                <w:sz w:val="22"/>
                <w:szCs w:val="22"/>
              </w:rPr>
              <w:t xml:space="preserve">(1) Provides an intensity of land use which is more intense than that provided for in the applicable legislative land use decisions, which the Authority Board has found consistent with the Reuse Plan; </w:t>
            </w:r>
          </w:p>
        </w:tc>
        <w:tc>
          <w:tcPr>
            <w:tcW w:w="1585" w:type="pct"/>
          </w:tcPr>
          <w:p w:rsidR="00335CA3" w:rsidRPr="00335CA3" w:rsidRDefault="00335CA3" w:rsidP="00760A57">
            <w:pPr>
              <w:pStyle w:val="Default"/>
              <w:spacing w:before="120" w:after="120"/>
              <w:ind w:left="108"/>
              <w:rPr>
                <w:sz w:val="22"/>
                <w:szCs w:val="22"/>
              </w:rPr>
            </w:pPr>
          </w:p>
        </w:tc>
      </w:tr>
      <w:tr w:rsidR="00335CA3" w:rsidRPr="00335CA3" w:rsidTr="00760A57">
        <w:trPr>
          <w:trHeight w:val="561"/>
        </w:trPr>
        <w:tc>
          <w:tcPr>
            <w:tcW w:w="3415" w:type="pct"/>
          </w:tcPr>
          <w:p w:rsidR="00335CA3" w:rsidRPr="00335CA3" w:rsidRDefault="00335CA3" w:rsidP="00760A57">
            <w:pPr>
              <w:pStyle w:val="Default"/>
              <w:spacing w:before="120" w:after="120"/>
              <w:ind w:left="108"/>
              <w:rPr>
                <w:sz w:val="22"/>
                <w:szCs w:val="22"/>
              </w:rPr>
            </w:pPr>
            <w:r w:rsidRPr="00335CA3">
              <w:rPr>
                <w:sz w:val="22"/>
                <w:szCs w:val="22"/>
              </w:rPr>
              <w:t xml:space="preserve">(2) Is more dense than the density of development permitted in the applicable legislative land use decisions which the Authority Board has found consistent with the Reuse Plan; </w:t>
            </w:r>
          </w:p>
        </w:tc>
        <w:tc>
          <w:tcPr>
            <w:tcW w:w="1585" w:type="pct"/>
          </w:tcPr>
          <w:p w:rsidR="00335CA3" w:rsidRPr="00335CA3" w:rsidRDefault="00335CA3" w:rsidP="00760A57">
            <w:pPr>
              <w:pStyle w:val="Default"/>
              <w:spacing w:before="120" w:after="120"/>
              <w:ind w:left="108"/>
              <w:rPr>
                <w:sz w:val="22"/>
                <w:szCs w:val="22"/>
              </w:rPr>
            </w:pPr>
          </w:p>
        </w:tc>
      </w:tr>
      <w:tr w:rsidR="00335CA3" w:rsidRPr="00335CA3" w:rsidTr="00760A57">
        <w:trPr>
          <w:trHeight w:val="1159"/>
        </w:trPr>
        <w:tc>
          <w:tcPr>
            <w:tcW w:w="3415" w:type="pct"/>
          </w:tcPr>
          <w:p w:rsidR="00335CA3" w:rsidRPr="00335CA3" w:rsidRDefault="00335CA3" w:rsidP="00760A57">
            <w:pPr>
              <w:pStyle w:val="Default"/>
              <w:spacing w:before="120" w:after="120"/>
              <w:ind w:left="108"/>
              <w:rPr>
                <w:sz w:val="22"/>
                <w:szCs w:val="22"/>
              </w:rPr>
            </w:pPr>
            <w:r w:rsidRPr="00335CA3">
              <w:rPr>
                <w:sz w:val="22"/>
                <w:szCs w:val="22"/>
              </w:rPr>
              <w:t>(3) Is not conditioned upon providing, performing, funding, or making an agreement guaranteeing the provision, performance, or funding of all programs applicable to the development entitlement as specified in the Reuse Plan and in Section 8.02.020 of this Master Resolution and consistent with local determinations made pursuant to Section 8.02.040 of this Resolution;</w:t>
            </w:r>
          </w:p>
        </w:tc>
        <w:tc>
          <w:tcPr>
            <w:tcW w:w="1585" w:type="pct"/>
          </w:tcPr>
          <w:p w:rsidR="00335CA3" w:rsidRPr="00335CA3" w:rsidRDefault="00335CA3" w:rsidP="00760A57">
            <w:pPr>
              <w:pStyle w:val="Default"/>
              <w:spacing w:before="120" w:after="120"/>
              <w:ind w:left="108"/>
              <w:rPr>
                <w:sz w:val="22"/>
                <w:szCs w:val="22"/>
              </w:rPr>
            </w:pPr>
          </w:p>
        </w:tc>
      </w:tr>
      <w:tr w:rsidR="00335CA3" w:rsidRPr="00335CA3" w:rsidTr="00760A57">
        <w:trPr>
          <w:trHeight w:val="842"/>
        </w:trPr>
        <w:tc>
          <w:tcPr>
            <w:tcW w:w="3415" w:type="pct"/>
          </w:tcPr>
          <w:p w:rsidR="00335CA3" w:rsidRPr="00335CA3" w:rsidRDefault="00335CA3" w:rsidP="00760A57">
            <w:pPr>
              <w:pStyle w:val="Default"/>
              <w:spacing w:before="120" w:after="120"/>
              <w:ind w:left="108"/>
              <w:rPr>
                <w:sz w:val="22"/>
                <w:szCs w:val="22"/>
              </w:rPr>
            </w:pPr>
            <w:r w:rsidRPr="00335CA3">
              <w:rPr>
                <w:sz w:val="22"/>
                <w:szCs w:val="22"/>
              </w:rPr>
              <w:t>(4) Provides uses which conflict or are incompatible with uses permitted or allowed in the Reuse Plan for the affected property or which conflict or are incompatible with open space, recreational, or habitat management areas within the jurisdiction of the Authority;</w:t>
            </w:r>
          </w:p>
        </w:tc>
        <w:tc>
          <w:tcPr>
            <w:tcW w:w="1585" w:type="pct"/>
          </w:tcPr>
          <w:p w:rsidR="00335CA3" w:rsidRPr="00335CA3" w:rsidRDefault="00335CA3" w:rsidP="00760A57">
            <w:pPr>
              <w:pStyle w:val="Default"/>
              <w:spacing w:before="120" w:after="120"/>
              <w:ind w:left="108"/>
              <w:rPr>
                <w:sz w:val="22"/>
                <w:szCs w:val="22"/>
              </w:rPr>
            </w:pPr>
          </w:p>
        </w:tc>
      </w:tr>
      <w:tr w:rsidR="00335CA3" w:rsidRPr="00335CA3" w:rsidTr="00760A57">
        <w:trPr>
          <w:trHeight w:val="843"/>
        </w:trPr>
        <w:tc>
          <w:tcPr>
            <w:tcW w:w="3415" w:type="pct"/>
          </w:tcPr>
          <w:p w:rsidR="00335CA3" w:rsidRPr="00335CA3" w:rsidRDefault="00335CA3" w:rsidP="00760A57">
            <w:pPr>
              <w:pStyle w:val="Default"/>
              <w:spacing w:before="120" w:after="120"/>
              <w:ind w:left="108"/>
              <w:rPr>
                <w:sz w:val="22"/>
                <w:szCs w:val="22"/>
              </w:rPr>
            </w:pPr>
            <w:r w:rsidRPr="00335CA3">
              <w:rPr>
                <w:sz w:val="22"/>
                <w:szCs w:val="22"/>
              </w:rPr>
              <w:t>(5) Does not require or otherwise provide for the financing and installation, construction, and maintenance of all infrastructure necessary to provide adequate public services to the property covered by the applicable legislative land use decision;</w:t>
            </w:r>
          </w:p>
        </w:tc>
        <w:tc>
          <w:tcPr>
            <w:tcW w:w="1585" w:type="pct"/>
          </w:tcPr>
          <w:p w:rsidR="00335CA3" w:rsidRPr="00335CA3" w:rsidRDefault="00335CA3" w:rsidP="00760A57">
            <w:pPr>
              <w:pStyle w:val="Default"/>
              <w:spacing w:before="120" w:after="120"/>
              <w:ind w:left="108"/>
              <w:rPr>
                <w:sz w:val="22"/>
                <w:szCs w:val="22"/>
              </w:rPr>
            </w:pPr>
          </w:p>
        </w:tc>
      </w:tr>
      <w:tr w:rsidR="00335CA3" w:rsidRPr="00335CA3" w:rsidTr="00760A57">
        <w:trPr>
          <w:trHeight w:val="333"/>
        </w:trPr>
        <w:tc>
          <w:tcPr>
            <w:tcW w:w="3415" w:type="pct"/>
          </w:tcPr>
          <w:p w:rsidR="00335CA3" w:rsidRPr="00335CA3" w:rsidRDefault="00335CA3" w:rsidP="00760A57">
            <w:pPr>
              <w:pStyle w:val="Default"/>
              <w:spacing w:before="120" w:after="120"/>
              <w:ind w:left="108"/>
              <w:rPr>
                <w:sz w:val="22"/>
                <w:szCs w:val="22"/>
              </w:rPr>
            </w:pPr>
            <w:r w:rsidRPr="00335CA3">
              <w:rPr>
                <w:sz w:val="22"/>
                <w:szCs w:val="22"/>
              </w:rPr>
              <w:t>(6) Does not require or otherwise provide for implementation of the Fort Ord Habitat Management Plan;</w:t>
            </w:r>
          </w:p>
        </w:tc>
        <w:tc>
          <w:tcPr>
            <w:tcW w:w="1585" w:type="pct"/>
          </w:tcPr>
          <w:p w:rsidR="00335CA3" w:rsidRPr="00335CA3" w:rsidRDefault="00335CA3" w:rsidP="00760A57">
            <w:pPr>
              <w:pStyle w:val="Default"/>
              <w:spacing w:before="120" w:after="120"/>
              <w:ind w:left="108"/>
              <w:rPr>
                <w:sz w:val="22"/>
                <w:szCs w:val="22"/>
              </w:rPr>
            </w:pPr>
          </w:p>
        </w:tc>
      </w:tr>
      <w:tr w:rsidR="00335CA3" w:rsidRPr="00335CA3" w:rsidTr="00760A57">
        <w:trPr>
          <w:trHeight w:val="561"/>
        </w:trPr>
        <w:tc>
          <w:tcPr>
            <w:tcW w:w="3415" w:type="pct"/>
          </w:tcPr>
          <w:p w:rsidR="00335CA3" w:rsidRPr="00335CA3" w:rsidRDefault="00335CA3" w:rsidP="00760A57">
            <w:pPr>
              <w:spacing w:before="120" w:after="120"/>
              <w:ind w:left="108" w:right="60"/>
              <w:rPr>
                <w:rFonts w:ascii="Arial" w:hAnsi="Arial" w:cs="Arial"/>
              </w:rPr>
            </w:pPr>
            <w:r w:rsidRPr="00335CA3">
              <w:rPr>
                <w:rFonts w:ascii="Arial" w:hAnsi="Arial" w:cs="Arial"/>
                <w:sz w:val="22"/>
                <w:szCs w:val="22"/>
              </w:rPr>
              <w:t>(7) Is not consistent with the Highway 1 Scenic Corridor design standards as such standards may be developed and approved by the Authority Board;</w:t>
            </w:r>
          </w:p>
        </w:tc>
        <w:tc>
          <w:tcPr>
            <w:tcW w:w="1585" w:type="pct"/>
          </w:tcPr>
          <w:p w:rsidR="00335CA3" w:rsidRPr="00335CA3" w:rsidRDefault="00335CA3" w:rsidP="00760A57">
            <w:pPr>
              <w:spacing w:before="120" w:after="120"/>
              <w:ind w:left="108" w:right="60"/>
              <w:rPr>
                <w:rFonts w:ascii="Arial" w:hAnsi="Arial" w:cs="Arial"/>
              </w:rPr>
            </w:pPr>
          </w:p>
        </w:tc>
      </w:tr>
      <w:tr w:rsidR="00335CA3" w:rsidRPr="00335CA3" w:rsidTr="00760A57">
        <w:trPr>
          <w:trHeight w:val="544"/>
        </w:trPr>
        <w:tc>
          <w:tcPr>
            <w:tcW w:w="3415" w:type="pct"/>
          </w:tcPr>
          <w:p w:rsidR="00335CA3" w:rsidRPr="00335CA3" w:rsidRDefault="00335CA3" w:rsidP="00760A57">
            <w:pPr>
              <w:pStyle w:val="Default"/>
              <w:spacing w:before="120" w:after="120"/>
              <w:ind w:left="168" w:right="60"/>
              <w:rPr>
                <w:sz w:val="22"/>
                <w:szCs w:val="22"/>
              </w:rPr>
            </w:pPr>
            <w:r w:rsidRPr="00335CA3">
              <w:rPr>
                <w:sz w:val="22"/>
                <w:szCs w:val="22"/>
              </w:rPr>
              <w:t>(8) Is not consistent with the jobs/housing balance requirements developed and approved by the Authority Board as provided in Section 8.02.020(t) of this Master Resolution;</w:t>
            </w:r>
          </w:p>
        </w:tc>
        <w:tc>
          <w:tcPr>
            <w:tcW w:w="1585" w:type="pct"/>
          </w:tcPr>
          <w:p w:rsidR="00335CA3" w:rsidRPr="00335CA3" w:rsidRDefault="00335CA3" w:rsidP="00760A57">
            <w:pPr>
              <w:pStyle w:val="Default"/>
              <w:spacing w:before="120" w:after="120"/>
              <w:ind w:left="168" w:right="60"/>
              <w:rPr>
                <w:sz w:val="22"/>
                <w:szCs w:val="22"/>
              </w:rPr>
            </w:pPr>
          </w:p>
        </w:tc>
      </w:tr>
      <w:tr w:rsidR="00335CA3" w:rsidRPr="00335CA3" w:rsidTr="00760A57">
        <w:trPr>
          <w:trHeight w:val="334"/>
        </w:trPr>
        <w:tc>
          <w:tcPr>
            <w:tcW w:w="3415" w:type="pct"/>
          </w:tcPr>
          <w:p w:rsidR="00335CA3" w:rsidRPr="00335CA3" w:rsidRDefault="00335CA3" w:rsidP="00760A57">
            <w:pPr>
              <w:pStyle w:val="Default"/>
              <w:spacing w:before="120" w:after="120"/>
              <w:rPr>
                <w:sz w:val="22"/>
                <w:szCs w:val="22"/>
              </w:rPr>
            </w:pPr>
            <w:r w:rsidRPr="00335CA3">
              <w:rPr>
                <w:b/>
                <w:bCs/>
                <w:sz w:val="22"/>
                <w:szCs w:val="22"/>
              </w:rPr>
              <w:t>8.02.040.</w:t>
            </w:r>
            <w:r w:rsidRPr="00335CA3">
              <w:rPr>
                <w:bCs/>
                <w:sz w:val="22"/>
                <w:szCs w:val="22"/>
              </w:rPr>
              <w:t xml:space="preserve"> N</w:t>
            </w:r>
            <w:r w:rsidRPr="00335CA3">
              <w:rPr>
                <w:sz w:val="22"/>
                <w:szCs w:val="22"/>
              </w:rPr>
              <w:t xml:space="preserve">o development entitlement shall be approved or conditionally approved within the jurisdiction of any land use agency until the land use agency has taken appropriate action, in the discretion of the land use agency, to adopt the programs </w:t>
            </w:r>
            <w:r w:rsidRPr="00335CA3">
              <w:rPr>
                <w:sz w:val="22"/>
                <w:szCs w:val="22"/>
              </w:rPr>
              <w:lastRenderedPageBreak/>
              <w:t>specified in the Reuse Plan, the Habitat Management Plan, the Development and Resource Management Plan, the Reuse Plan Environmental Impact Report Mitigation and Monitoring Plan and this Master Resolution applicable to such development entitlement.</w:t>
            </w:r>
          </w:p>
        </w:tc>
        <w:tc>
          <w:tcPr>
            <w:tcW w:w="1585" w:type="pct"/>
          </w:tcPr>
          <w:p w:rsidR="00335CA3" w:rsidRPr="00335CA3" w:rsidRDefault="00335CA3" w:rsidP="00760A57">
            <w:pPr>
              <w:pStyle w:val="Default"/>
              <w:spacing w:before="120" w:after="120"/>
              <w:ind w:left="168" w:right="60"/>
              <w:rPr>
                <w:sz w:val="22"/>
                <w:szCs w:val="22"/>
              </w:rPr>
            </w:pPr>
          </w:p>
        </w:tc>
      </w:tr>
      <w:tr w:rsidR="00335CA3" w:rsidRPr="00335CA3" w:rsidTr="00760A57">
        <w:trPr>
          <w:trHeight w:val="421"/>
        </w:trPr>
        <w:tc>
          <w:tcPr>
            <w:tcW w:w="3415" w:type="pct"/>
          </w:tcPr>
          <w:p w:rsidR="00335CA3" w:rsidRPr="00335CA3" w:rsidRDefault="00335CA3" w:rsidP="00760A57">
            <w:pPr>
              <w:pStyle w:val="Default"/>
              <w:spacing w:before="120" w:after="120"/>
              <w:rPr>
                <w:sz w:val="22"/>
                <w:szCs w:val="22"/>
              </w:rPr>
            </w:pPr>
            <w:r w:rsidRPr="00335CA3">
              <w:rPr>
                <w:b/>
                <w:bCs/>
                <w:sz w:val="22"/>
                <w:szCs w:val="22"/>
              </w:rPr>
              <w:lastRenderedPageBreak/>
              <w:t>3.03.090 (Prevailing Wages)</w:t>
            </w:r>
            <w:r w:rsidR="000F563A">
              <w:rPr>
                <w:b/>
                <w:bCs/>
                <w:sz w:val="22"/>
                <w:szCs w:val="22"/>
              </w:rPr>
              <w:t xml:space="preserve"> </w:t>
            </w:r>
            <w:r w:rsidRPr="00335CA3">
              <w:rPr>
                <w:sz w:val="22"/>
                <w:szCs w:val="22"/>
              </w:rPr>
              <w:t xml:space="preserve">(a) Not less than the general prevailing rate of wages for work of a similar character in Monterey County, as determined by the Director of the Department of Industrial Relations under Division 2, Part 7, Chapter 1 of the California Labor Code, will be paid to all workers employed on the First Generation Construction performed on parcels subject to the Fort Ord Base Reuse Plan. This subsection applies to work performed under Development Entitlements as defined in §1.01.050 of this Master Resolution and by contract with a FORA member or a FORA member agency including their transferees, agents, successors-in-interest, developers or building contractors. </w:t>
            </w:r>
          </w:p>
          <w:p w:rsidR="00335CA3" w:rsidRPr="00335CA3" w:rsidRDefault="00335CA3" w:rsidP="00760A57">
            <w:pPr>
              <w:pStyle w:val="Default"/>
              <w:spacing w:before="120" w:after="120"/>
              <w:rPr>
                <w:sz w:val="22"/>
                <w:szCs w:val="22"/>
              </w:rPr>
            </w:pPr>
            <w:r w:rsidRPr="00335CA3">
              <w:rPr>
                <w:sz w:val="22"/>
                <w:szCs w:val="22"/>
              </w:rPr>
              <w:t xml:space="preserve">This policy is limited to “First Generation Construction” work, which is defined in §1.01.050 of this Master Resolution. In addition to the exceptions enumerated in the definition of Development Entitlements found in §1.01.050 of this Master Resolution, this policy does not apply to: </w:t>
            </w:r>
          </w:p>
          <w:p w:rsidR="00335CA3" w:rsidRPr="00335CA3" w:rsidRDefault="00335CA3" w:rsidP="00760A57">
            <w:pPr>
              <w:pStyle w:val="Default"/>
              <w:spacing w:before="120" w:after="120"/>
              <w:rPr>
                <w:sz w:val="22"/>
                <w:szCs w:val="22"/>
              </w:rPr>
            </w:pPr>
            <w:r w:rsidRPr="00335CA3">
              <w:rPr>
                <w:sz w:val="22"/>
                <w:szCs w:val="22"/>
              </w:rPr>
              <w:t xml:space="preserve">(1) construction work performed by the Authority or a member jurisdiction with its own workforce; </w:t>
            </w:r>
          </w:p>
          <w:p w:rsidR="00335CA3" w:rsidRPr="00335CA3" w:rsidRDefault="00335CA3" w:rsidP="00760A57">
            <w:pPr>
              <w:pStyle w:val="Default"/>
              <w:spacing w:before="120" w:after="120"/>
              <w:rPr>
                <w:sz w:val="22"/>
                <w:szCs w:val="22"/>
              </w:rPr>
            </w:pPr>
            <w:r w:rsidRPr="00335CA3">
              <w:rPr>
                <w:sz w:val="22"/>
                <w:szCs w:val="22"/>
              </w:rPr>
              <w:t xml:space="preserve">(2) construction work performed by paid, full-time employees of the developer, unless the developer is performing the work of a contractor as defined in California Business and Professions Code §7026; </w:t>
            </w:r>
          </w:p>
          <w:p w:rsidR="00335CA3" w:rsidRPr="00335CA3" w:rsidRDefault="00335CA3" w:rsidP="00760A57">
            <w:pPr>
              <w:pStyle w:val="Default"/>
              <w:spacing w:before="120" w:after="120"/>
              <w:rPr>
                <w:sz w:val="22"/>
                <w:szCs w:val="22"/>
              </w:rPr>
            </w:pPr>
            <w:r w:rsidRPr="00335CA3">
              <w:rPr>
                <w:sz w:val="22"/>
                <w:szCs w:val="22"/>
              </w:rPr>
              <w:t xml:space="preserve">(3) construction improvements following issuance of an occupancy permit; </w:t>
            </w:r>
          </w:p>
          <w:p w:rsidR="00335CA3" w:rsidRPr="00335CA3" w:rsidRDefault="00335CA3" w:rsidP="00760A57">
            <w:pPr>
              <w:pStyle w:val="Default"/>
              <w:spacing w:before="120" w:after="120"/>
              <w:rPr>
                <w:sz w:val="22"/>
                <w:szCs w:val="22"/>
              </w:rPr>
            </w:pPr>
            <w:r w:rsidRPr="00335CA3">
              <w:rPr>
                <w:sz w:val="22"/>
                <w:szCs w:val="22"/>
              </w:rPr>
              <w:t xml:space="preserve">(4) affordable housing when exempted under California state law; and </w:t>
            </w:r>
          </w:p>
          <w:p w:rsidR="00335CA3" w:rsidRPr="00335CA3" w:rsidRDefault="00335CA3" w:rsidP="00760A57">
            <w:pPr>
              <w:pStyle w:val="Default"/>
              <w:spacing w:before="120" w:after="120"/>
              <w:ind w:right="60"/>
              <w:rPr>
                <w:sz w:val="22"/>
                <w:szCs w:val="22"/>
              </w:rPr>
            </w:pPr>
            <w:r w:rsidRPr="00335CA3">
              <w:rPr>
                <w:sz w:val="22"/>
                <w:szCs w:val="22"/>
              </w:rPr>
              <w:t>(5) construction of facilities to be used for eleemosynary non-commercial purposes when owned in fee by a non-profit organization operating under §501(c)(3) of the Internal Revenue Code.</w:t>
            </w:r>
          </w:p>
        </w:tc>
        <w:tc>
          <w:tcPr>
            <w:tcW w:w="1585" w:type="pct"/>
          </w:tcPr>
          <w:p w:rsidR="00335CA3" w:rsidRPr="00335CA3" w:rsidRDefault="00335CA3" w:rsidP="00760A57">
            <w:pPr>
              <w:pStyle w:val="Default"/>
              <w:spacing w:before="120" w:after="120"/>
              <w:ind w:left="168" w:right="60"/>
              <w:rPr>
                <w:sz w:val="22"/>
                <w:szCs w:val="22"/>
              </w:rPr>
            </w:pPr>
          </w:p>
        </w:tc>
      </w:tr>
    </w:tbl>
    <w:p w:rsidR="00C85E3B" w:rsidRPr="00335CA3" w:rsidRDefault="00DC0177">
      <w:pPr>
        <w:rPr>
          <w:sz w:val="22"/>
          <w:szCs w:val="22"/>
        </w:rPr>
      </w:pPr>
    </w:p>
    <w:sectPr w:rsidR="00C85E3B" w:rsidRPr="00335CA3" w:rsidSect="00EC751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177" w:rsidRDefault="00DC0177" w:rsidP="00DC0177">
      <w:r>
        <w:separator/>
      </w:r>
    </w:p>
  </w:endnote>
  <w:endnote w:type="continuationSeparator" w:id="0">
    <w:p w:rsidR="00DC0177" w:rsidRDefault="00DC0177" w:rsidP="00DC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16634"/>
      <w:docPartObj>
        <w:docPartGallery w:val="Page Numbers (Bottom of Page)"/>
        <w:docPartUnique/>
      </w:docPartObj>
    </w:sdtPr>
    <w:sdtEndPr>
      <w:rPr>
        <w:rFonts w:asciiTheme="majorHAnsi" w:hAnsiTheme="majorHAnsi"/>
      </w:rPr>
    </w:sdtEndPr>
    <w:sdtContent>
      <w:sdt>
        <w:sdtPr>
          <w:rPr>
            <w:rFonts w:asciiTheme="majorHAnsi" w:hAnsiTheme="majorHAnsi"/>
          </w:rPr>
          <w:id w:val="1728636285"/>
          <w:docPartObj>
            <w:docPartGallery w:val="Page Numbers (Top of Page)"/>
            <w:docPartUnique/>
          </w:docPartObj>
        </w:sdtPr>
        <w:sdtContent>
          <w:p w:rsidR="00DC0177" w:rsidRPr="00DC0177" w:rsidRDefault="00DC0177">
            <w:pPr>
              <w:pStyle w:val="Footer"/>
              <w:jc w:val="center"/>
              <w:rPr>
                <w:rFonts w:asciiTheme="majorHAnsi" w:hAnsiTheme="majorHAnsi"/>
              </w:rPr>
            </w:pPr>
            <w:r w:rsidRPr="00DC0177">
              <w:rPr>
                <w:rFonts w:asciiTheme="majorHAnsi" w:hAnsiTheme="majorHAnsi"/>
              </w:rPr>
              <w:t xml:space="preserve">Page </w:t>
            </w:r>
            <w:r w:rsidRPr="00DC0177">
              <w:rPr>
                <w:rFonts w:asciiTheme="majorHAnsi" w:hAnsiTheme="majorHAnsi"/>
                <w:b/>
                <w:bCs/>
              </w:rPr>
              <w:fldChar w:fldCharType="begin"/>
            </w:r>
            <w:r w:rsidRPr="00DC0177">
              <w:rPr>
                <w:rFonts w:asciiTheme="majorHAnsi" w:hAnsiTheme="majorHAnsi"/>
                <w:b/>
                <w:bCs/>
              </w:rPr>
              <w:instrText xml:space="preserve"> PAGE </w:instrText>
            </w:r>
            <w:r w:rsidRPr="00DC0177">
              <w:rPr>
                <w:rFonts w:asciiTheme="majorHAnsi" w:hAnsiTheme="majorHAnsi"/>
                <w:b/>
                <w:bCs/>
              </w:rPr>
              <w:fldChar w:fldCharType="separate"/>
            </w:r>
            <w:r>
              <w:rPr>
                <w:rFonts w:asciiTheme="majorHAnsi" w:hAnsiTheme="majorHAnsi"/>
                <w:b/>
                <w:bCs/>
                <w:noProof/>
              </w:rPr>
              <w:t>1</w:t>
            </w:r>
            <w:r w:rsidRPr="00DC0177">
              <w:rPr>
                <w:rFonts w:asciiTheme="majorHAnsi" w:hAnsiTheme="majorHAnsi"/>
                <w:b/>
                <w:bCs/>
              </w:rPr>
              <w:fldChar w:fldCharType="end"/>
            </w:r>
            <w:r w:rsidRPr="00DC0177">
              <w:rPr>
                <w:rFonts w:asciiTheme="majorHAnsi" w:hAnsiTheme="majorHAnsi"/>
              </w:rPr>
              <w:t xml:space="preserve"> of </w:t>
            </w:r>
            <w:r w:rsidRPr="00DC0177">
              <w:rPr>
                <w:rFonts w:asciiTheme="majorHAnsi" w:hAnsiTheme="majorHAnsi"/>
                <w:b/>
                <w:bCs/>
              </w:rPr>
              <w:fldChar w:fldCharType="begin"/>
            </w:r>
            <w:r w:rsidRPr="00DC0177">
              <w:rPr>
                <w:rFonts w:asciiTheme="majorHAnsi" w:hAnsiTheme="majorHAnsi"/>
                <w:b/>
                <w:bCs/>
              </w:rPr>
              <w:instrText xml:space="preserve"> NUMPAGES  </w:instrText>
            </w:r>
            <w:r w:rsidRPr="00DC0177">
              <w:rPr>
                <w:rFonts w:asciiTheme="majorHAnsi" w:hAnsiTheme="majorHAnsi"/>
                <w:b/>
                <w:bCs/>
              </w:rPr>
              <w:fldChar w:fldCharType="separate"/>
            </w:r>
            <w:r>
              <w:rPr>
                <w:rFonts w:asciiTheme="majorHAnsi" w:hAnsiTheme="majorHAnsi"/>
                <w:b/>
                <w:bCs/>
                <w:noProof/>
              </w:rPr>
              <w:t>2</w:t>
            </w:r>
            <w:r w:rsidRPr="00DC0177">
              <w:rPr>
                <w:rFonts w:asciiTheme="majorHAnsi" w:hAnsiTheme="majorHAnsi"/>
                <w:b/>
                <w:bCs/>
              </w:rPr>
              <w:fldChar w:fldCharType="end"/>
            </w:r>
          </w:p>
        </w:sdtContent>
      </w:sdt>
    </w:sdtContent>
  </w:sdt>
  <w:p w:rsidR="00DC0177" w:rsidRDefault="00DC0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177" w:rsidRDefault="00DC0177" w:rsidP="00DC0177">
      <w:r>
        <w:separator/>
      </w:r>
    </w:p>
  </w:footnote>
  <w:footnote w:type="continuationSeparator" w:id="0">
    <w:p w:rsidR="00DC0177" w:rsidRDefault="00DC0177" w:rsidP="00DC0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77" w:rsidRPr="00DC0177" w:rsidRDefault="00DC0177" w:rsidP="00DC0177">
    <w:pPr>
      <w:pStyle w:val="Header"/>
      <w:jc w:val="center"/>
      <w:rPr>
        <w:rFonts w:asciiTheme="majorHAnsi" w:hAnsiTheme="majorHAnsi"/>
      </w:rPr>
    </w:pPr>
    <w:r w:rsidRPr="00DC0177">
      <w:rPr>
        <w:rFonts w:asciiTheme="majorHAnsi" w:hAnsiTheme="majorHAnsi"/>
      </w:rPr>
      <w:t>FORA Consistency Determination Analysis Table</w:t>
    </w:r>
  </w:p>
  <w:p w:rsidR="00DC0177" w:rsidRPr="00DC0177" w:rsidRDefault="00DC0177" w:rsidP="00DC0177">
    <w:pPr>
      <w:pStyle w:val="Header"/>
      <w:jc w:val="center"/>
      <w:rPr>
        <w:rFonts w:asciiTheme="majorHAnsi" w:hAnsiTheme="majorHAnsi"/>
      </w:rPr>
    </w:pPr>
    <w:r w:rsidRPr="00DC0177">
      <w:rPr>
        <w:rFonts w:asciiTheme="majorHAnsi" w:hAnsiTheme="majorHAnsi"/>
      </w:rPr>
      <w:t>Development Entitlement</w:t>
    </w:r>
    <w:r>
      <w:rPr>
        <w:rFonts w:asciiTheme="majorHAnsi" w:hAnsiTheme="majorHAnsi"/>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5CA3"/>
    <w:rsid w:val="00083A05"/>
    <w:rsid w:val="000F563A"/>
    <w:rsid w:val="00335CA3"/>
    <w:rsid w:val="00C6540D"/>
    <w:rsid w:val="00DC0177"/>
    <w:rsid w:val="00E71FBA"/>
    <w:rsid w:val="00EC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1A386-3A91-4EDA-A850-3376719E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C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CA3"/>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DC0177"/>
    <w:pPr>
      <w:tabs>
        <w:tab w:val="center" w:pos="4680"/>
        <w:tab w:val="right" w:pos="9360"/>
      </w:tabs>
    </w:pPr>
  </w:style>
  <w:style w:type="character" w:customStyle="1" w:styleId="HeaderChar">
    <w:name w:val="Header Char"/>
    <w:basedOn w:val="DefaultParagraphFont"/>
    <w:link w:val="Header"/>
    <w:uiPriority w:val="99"/>
    <w:rsid w:val="00DC01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0177"/>
    <w:pPr>
      <w:tabs>
        <w:tab w:val="center" w:pos="4680"/>
        <w:tab w:val="right" w:pos="9360"/>
      </w:tabs>
    </w:pPr>
  </w:style>
  <w:style w:type="character" w:customStyle="1" w:styleId="FooterChar">
    <w:name w:val="Footer Char"/>
    <w:basedOn w:val="DefaultParagraphFont"/>
    <w:link w:val="Footer"/>
    <w:uiPriority w:val="99"/>
    <w:rsid w:val="00DC01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Josh Metz</cp:lastModifiedBy>
  <cp:revision>3</cp:revision>
  <dcterms:created xsi:type="dcterms:W3CDTF">2013-07-08T23:27:00Z</dcterms:created>
  <dcterms:modified xsi:type="dcterms:W3CDTF">2014-02-26T19:27:00Z</dcterms:modified>
</cp:coreProperties>
</file>